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4E87C" w14:textId="42852517" w:rsidR="000267CA" w:rsidRPr="0076717B" w:rsidRDefault="000267CA" w:rsidP="00D1210A">
      <w:pPr>
        <w:jc w:val="both"/>
        <w:rPr>
          <w:b/>
          <w:bCs/>
          <w:color w:val="4472C4" w:themeColor="accent1"/>
          <w:sz w:val="24"/>
          <w:szCs w:val="24"/>
        </w:rPr>
      </w:pPr>
      <w:r w:rsidRPr="0076717B">
        <w:rPr>
          <w:b/>
          <w:bCs/>
          <w:color w:val="4472C4" w:themeColor="accent1"/>
          <w:sz w:val="24"/>
          <w:szCs w:val="24"/>
        </w:rPr>
        <w:t>Forfait jours des cadres </w:t>
      </w:r>
      <w:r w:rsidR="0076717B">
        <w:rPr>
          <w:b/>
          <w:bCs/>
          <w:color w:val="4472C4" w:themeColor="accent1"/>
          <w:sz w:val="24"/>
          <w:szCs w:val="24"/>
        </w:rPr>
        <w:t xml:space="preserve">de la branche invalidé </w:t>
      </w:r>
      <w:r w:rsidRPr="0076717B">
        <w:rPr>
          <w:b/>
          <w:bCs/>
          <w:color w:val="4472C4" w:themeColor="accent1"/>
          <w:sz w:val="24"/>
          <w:szCs w:val="24"/>
        </w:rPr>
        <w:t>: pratique</w:t>
      </w:r>
      <w:r w:rsidR="0076717B">
        <w:rPr>
          <w:b/>
          <w:bCs/>
          <w:color w:val="4472C4" w:themeColor="accent1"/>
          <w:sz w:val="24"/>
          <w:szCs w:val="24"/>
        </w:rPr>
        <w:t>s</w:t>
      </w:r>
      <w:r w:rsidRPr="0076717B">
        <w:rPr>
          <w:b/>
          <w:bCs/>
          <w:color w:val="4472C4" w:themeColor="accent1"/>
          <w:sz w:val="24"/>
          <w:szCs w:val="24"/>
        </w:rPr>
        <w:t xml:space="preserve"> à mettre en place pour être en conformité </w:t>
      </w:r>
    </w:p>
    <w:p w14:paraId="45CCE4F5" w14:textId="356A144E" w:rsidR="00D1210A" w:rsidRDefault="00D1210A" w:rsidP="00D1210A">
      <w:pPr>
        <w:jc w:val="both"/>
      </w:pPr>
      <w:r>
        <w:t xml:space="preserve">La chambre sociale de la Cour de cassation a eu à se prononcer dans un arrêt du 24 mars 2021 sur la validité des stipulations de notre accord de branche relatif à la réduction du temps de travail du 23 juin 2000 concernant le </w:t>
      </w:r>
      <w:r w:rsidRPr="00426D0D">
        <w:rPr>
          <w:b/>
          <w:bCs/>
        </w:rPr>
        <w:t>forfait en jours des cadres.</w:t>
      </w:r>
    </w:p>
    <w:p w14:paraId="61EC580B" w14:textId="2C91FE01" w:rsidR="00D1210A" w:rsidRDefault="005611CB" w:rsidP="00D1210A">
      <w:pPr>
        <w:jc w:val="both"/>
      </w:pPr>
      <w:r>
        <w:t>Sans surprise, e</w:t>
      </w:r>
      <w:r w:rsidR="00D1210A">
        <w:t xml:space="preserve">lle a conclu logiquement que celui-ci n’était pas conforme </w:t>
      </w:r>
      <w:r>
        <w:t xml:space="preserve">aux </w:t>
      </w:r>
      <w:r w:rsidR="005816EB">
        <w:t xml:space="preserve">dispositions </w:t>
      </w:r>
      <w:r>
        <w:t xml:space="preserve">légales postérieures à notre accord qui </w:t>
      </w:r>
      <w:r w:rsidR="005816EB">
        <w:t xml:space="preserve">exigent </w:t>
      </w:r>
      <w:r>
        <w:t>des garanties concernant le respect de durées raisonnables de travail ainsi que des repos, journaliers et hebdomadaires</w:t>
      </w:r>
      <w:r w:rsidR="005816EB">
        <w:t xml:space="preserve"> pour assurer la protection de la sécurité et de la santé des salariés.</w:t>
      </w:r>
    </w:p>
    <w:p w14:paraId="0A0B2B5A" w14:textId="0DAD351D" w:rsidR="00D1210A" w:rsidRDefault="005816EB" w:rsidP="00D1210A">
      <w:pPr>
        <w:jc w:val="both"/>
      </w:pPr>
      <w:r>
        <w:t>Dans l’affaire en question, la convention de forfait en jours conclue sur la base de notre accord a été déclarée nulle, conformément à la jurisprudence de la Cour existante sur le sujet.</w:t>
      </w:r>
    </w:p>
    <w:p w14:paraId="1BA2D9BF" w14:textId="48DB40F2" w:rsidR="00D1210A" w:rsidRDefault="00D1210A" w:rsidP="00D1210A">
      <w:pPr>
        <w:jc w:val="both"/>
      </w:pPr>
      <w:r>
        <w:t xml:space="preserve">L’invalidation de </w:t>
      </w:r>
      <w:r w:rsidR="005816EB">
        <w:t xml:space="preserve">notre </w:t>
      </w:r>
      <w:r>
        <w:t>accord du 23 juin 2000</w:t>
      </w:r>
      <w:r w:rsidR="005816EB">
        <w:t xml:space="preserve"> sur les forfaits jours </w:t>
      </w:r>
      <w:r>
        <w:t>par la Cour de cassation ouvre donc la possibilité pour les salariés en forfait-jours d’invoquer la nullité de leur convention individuelle et d’effectuer des demandes en rappel de salaires aux titres des heures supplémentaires effectuées au-delà de la durée légale ou conventionnelle de travail.</w:t>
      </w:r>
    </w:p>
    <w:p w14:paraId="32D59003" w14:textId="5CD9DAA3" w:rsidR="00E90757" w:rsidRDefault="005816EB" w:rsidP="00E90757">
      <w:pPr>
        <w:jc w:val="both"/>
      </w:pPr>
      <w:r>
        <w:t>Mais pas de panique, i</w:t>
      </w:r>
      <w:r w:rsidR="00E90757">
        <w:t xml:space="preserve">l est </w:t>
      </w:r>
      <w:r>
        <w:t xml:space="preserve">tout à fait </w:t>
      </w:r>
      <w:r w:rsidR="00E90757">
        <w:t xml:space="preserve">possible de </w:t>
      </w:r>
      <w:r w:rsidR="00E90757" w:rsidRPr="005816EB">
        <w:rPr>
          <w:b/>
          <w:bCs/>
        </w:rPr>
        <w:t>sécuriser les conventions individuelles de forfait en cours</w:t>
      </w:r>
      <w:r w:rsidR="00E90757">
        <w:t xml:space="preserve"> en recourant au dispositif supplétif prévu par la loi Travail du 8 août 2016, qui permet de</w:t>
      </w:r>
      <w:proofErr w:type="gramStart"/>
      <w:r w:rsidR="00E90757">
        <w:t xml:space="preserve"> «rattraper</w:t>
      </w:r>
      <w:proofErr w:type="gramEnd"/>
      <w:r w:rsidR="00E90757">
        <w:t xml:space="preserve"> » un accord insuffisamment protecteur</w:t>
      </w:r>
      <w:r>
        <w:t>.</w:t>
      </w:r>
      <w:r w:rsidR="00E90757">
        <w:t xml:space="preserve"> </w:t>
      </w:r>
    </w:p>
    <w:p w14:paraId="53339148" w14:textId="64EFBB91" w:rsidR="00E90757" w:rsidRDefault="005816EB" w:rsidP="00E90757">
      <w:pPr>
        <w:jc w:val="both"/>
      </w:pPr>
      <w:r>
        <w:t>Ainsi, l</w:t>
      </w:r>
      <w:r w:rsidR="00E90757">
        <w:t xml:space="preserve">es conventions de forfait </w:t>
      </w:r>
      <w:r w:rsidR="00E90757" w:rsidRPr="00E90757">
        <w:rPr>
          <w:b/>
          <w:bCs/>
          <w:u w:val="single"/>
        </w:rPr>
        <w:t>déjà conclues restent valables</w:t>
      </w:r>
      <w:r w:rsidR="00E90757">
        <w:t xml:space="preserve"> </w:t>
      </w:r>
      <w:r w:rsidR="00E90757" w:rsidRPr="00B04DF4">
        <w:rPr>
          <w:b/>
          <w:bCs/>
          <w:color w:val="FF0000"/>
          <w:u w:val="single"/>
        </w:rPr>
        <w:t>à la condition</w:t>
      </w:r>
      <w:r w:rsidR="00E90757" w:rsidRPr="00B04DF4">
        <w:rPr>
          <w:color w:val="FF0000"/>
        </w:rPr>
        <w:t xml:space="preserve"> </w:t>
      </w:r>
      <w:r w:rsidR="00E90757">
        <w:t xml:space="preserve">que l’employeur : </w:t>
      </w:r>
    </w:p>
    <w:p w14:paraId="5E8820B0" w14:textId="1169B903" w:rsidR="00B04DF4" w:rsidRDefault="00B04DF4" w:rsidP="004512A9">
      <w:pPr>
        <w:pStyle w:val="Paragraphedeliste"/>
        <w:numPr>
          <w:ilvl w:val="0"/>
          <w:numId w:val="2"/>
        </w:numPr>
        <w:jc w:val="both"/>
      </w:pPr>
      <w:r>
        <w:t xml:space="preserve">établisse un </w:t>
      </w:r>
      <w:r w:rsidRPr="00E90757">
        <w:rPr>
          <w:b/>
          <w:bCs/>
        </w:rPr>
        <w:t>document de contrôle</w:t>
      </w:r>
      <w:r>
        <w:t xml:space="preserve"> faisant apparaitre </w:t>
      </w:r>
      <w:r w:rsidRPr="00B04DF4">
        <w:rPr>
          <w:b/>
          <w:bCs/>
        </w:rPr>
        <w:t>le nombre et la date</w:t>
      </w:r>
      <w:r>
        <w:t xml:space="preserve"> </w:t>
      </w:r>
      <w:r w:rsidRPr="00E90757">
        <w:rPr>
          <w:b/>
          <w:bCs/>
        </w:rPr>
        <w:t>des jours et demi-journées travaillées</w:t>
      </w:r>
      <w:r>
        <w:t>. Sous la responsabilité de l'employeur, ce document peut être renseigné par le salarié. </w:t>
      </w:r>
    </w:p>
    <w:p w14:paraId="35C48848" w14:textId="77777777" w:rsidR="00E90757" w:rsidRDefault="00E90757" w:rsidP="00B04DF4">
      <w:pPr>
        <w:pStyle w:val="Paragraphedeliste"/>
      </w:pPr>
    </w:p>
    <w:p w14:paraId="4FACFB83" w14:textId="56F3B219" w:rsidR="00E90757" w:rsidRDefault="00B04DF4" w:rsidP="004512A9">
      <w:pPr>
        <w:pStyle w:val="Paragraphedeliste"/>
        <w:numPr>
          <w:ilvl w:val="0"/>
          <w:numId w:val="2"/>
        </w:numPr>
        <w:jc w:val="both"/>
      </w:pPr>
      <w:r>
        <w:t>s</w:t>
      </w:r>
      <w:r w:rsidR="00E90757">
        <w:t xml:space="preserve">'assurer que la charge de travail du salarié est compatible avec le </w:t>
      </w:r>
      <w:r w:rsidR="00E90757" w:rsidRPr="00E90757">
        <w:rPr>
          <w:b/>
          <w:bCs/>
        </w:rPr>
        <w:t>respect des temps de repos quotidiens et hebdomadaires</w:t>
      </w:r>
      <w:r w:rsidR="00E90757">
        <w:t xml:space="preserve"> : prévoir par exemple que cette question </w:t>
      </w:r>
      <w:r>
        <w:t>soit</w:t>
      </w:r>
      <w:r w:rsidR="00E90757">
        <w:t xml:space="preserve"> abordée au cours de l’entretien et </w:t>
      </w:r>
      <w:r>
        <w:t xml:space="preserve">prévoir </w:t>
      </w:r>
      <w:r w:rsidR="00E90757">
        <w:t>que le salarié p</w:t>
      </w:r>
      <w:r>
        <w:t>uisse</w:t>
      </w:r>
      <w:r w:rsidR="00E90757">
        <w:t xml:space="preserve"> signaler une situation d’alerte au regard de ces questions à son supérieur hiérarchique ou aux </w:t>
      </w:r>
      <w:r>
        <w:t>institutions représentatives du personnel.</w:t>
      </w:r>
      <w:r w:rsidR="00E90757">
        <w:t xml:space="preserve"> Ce contrôle peut prendre la forme par exemple de </w:t>
      </w:r>
      <w:r>
        <w:t>« </w:t>
      </w:r>
      <w:r w:rsidR="00E90757">
        <w:t>bornes</w:t>
      </w:r>
      <w:r>
        <w:t> »</w:t>
      </w:r>
      <w:r w:rsidR="00E90757">
        <w:t xml:space="preserve"> de repos obligatoire et un suivi si le salarié travaille exceptionnellement durant ces plages de temps.</w:t>
      </w:r>
    </w:p>
    <w:p w14:paraId="64AD87B9" w14:textId="77777777" w:rsidR="00B04DF4" w:rsidRDefault="00B04DF4" w:rsidP="00B04DF4">
      <w:pPr>
        <w:pStyle w:val="Paragraphedeliste"/>
      </w:pPr>
    </w:p>
    <w:p w14:paraId="504C3B24" w14:textId="7652C59C" w:rsidR="00E90757" w:rsidRPr="00E90757" w:rsidRDefault="00B04DF4" w:rsidP="004512A9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>
        <w:t>o</w:t>
      </w:r>
      <w:r w:rsidR="00E90757">
        <w:t xml:space="preserve">rganise </w:t>
      </w:r>
      <w:r w:rsidR="00E90757" w:rsidRPr="00E90757">
        <w:rPr>
          <w:b/>
          <w:bCs/>
        </w:rPr>
        <w:t xml:space="preserve">une fois par an </w:t>
      </w:r>
      <w:r w:rsidR="00E90757" w:rsidRPr="00E90757">
        <w:rPr>
          <w:b/>
          <w:bCs/>
          <w:u w:val="single"/>
        </w:rPr>
        <w:t>au minimum</w:t>
      </w:r>
      <w:r w:rsidR="00E90757" w:rsidRPr="00E90757">
        <w:rPr>
          <w:b/>
          <w:bCs/>
        </w:rPr>
        <w:t xml:space="preserve"> un entretien</w:t>
      </w:r>
      <w:r w:rsidR="00E90757">
        <w:t xml:space="preserve"> avec le salarié pour évoquer sa charge de travail, qui doit être raisonnable, l'organisation de son travail, l'articulation entre son activité professionnelle et sa vie personnelle ainsi que sa rémunération : </w:t>
      </w:r>
      <w:r w:rsidR="00E90757" w:rsidRPr="00E90757">
        <w:rPr>
          <w:b/>
          <w:bCs/>
        </w:rPr>
        <w:t>le rendre traçable et en faire un compte-rendu.</w:t>
      </w:r>
    </w:p>
    <w:p w14:paraId="1785C2FA" w14:textId="77777777" w:rsidR="00E90757" w:rsidRPr="00E90757" w:rsidRDefault="00E90757" w:rsidP="00B04DF4">
      <w:pPr>
        <w:pStyle w:val="Paragraphedeliste"/>
        <w:rPr>
          <w:b/>
          <w:bCs/>
        </w:rPr>
      </w:pPr>
    </w:p>
    <w:p w14:paraId="60CEE637" w14:textId="77777777" w:rsidR="00B04DF4" w:rsidRDefault="00B04DF4" w:rsidP="004512A9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définisse </w:t>
      </w:r>
      <w:r w:rsidR="00E90757">
        <w:t xml:space="preserve">les </w:t>
      </w:r>
      <w:r w:rsidR="00E90757" w:rsidRPr="00E90757">
        <w:rPr>
          <w:b/>
          <w:bCs/>
        </w:rPr>
        <w:t>modalités d'exercice par le salarié de son droit à la déconnexion</w:t>
      </w:r>
      <w:r w:rsidR="00E90757">
        <w:t xml:space="preserve"> et les communique par tout moyen aux salariés concernés. </w:t>
      </w:r>
    </w:p>
    <w:p w14:paraId="16BBFD2C" w14:textId="77777777" w:rsidR="00B04DF4" w:rsidRDefault="00E90757" w:rsidP="004512A9">
      <w:pPr>
        <w:spacing w:after="0" w:line="240" w:lineRule="auto"/>
        <w:ind w:left="709"/>
        <w:jc w:val="both"/>
      </w:pPr>
      <w:r w:rsidRPr="004512A9">
        <w:rPr>
          <w:i/>
          <w:iCs/>
        </w:rPr>
        <w:t>Dans les entreprises d'au moins cinquante salariés</w:t>
      </w:r>
      <w:r>
        <w:t xml:space="preserve">, ces modalités sont conformes à la charte légalement prévue. </w:t>
      </w:r>
    </w:p>
    <w:p w14:paraId="01959DB5" w14:textId="7321A515" w:rsidR="00E90757" w:rsidRDefault="00E90757" w:rsidP="004512A9">
      <w:pPr>
        <w:spacing w:after="0" w:line="240" w:lineRule="auto"/>
        <w:ind w:left="709"/>
        <w:jc w:val="both"/>
      </w:pPr>
      <w:r w:rsidRPr="004512A9">
        <w:rPr>
          <w:i/>
          <w:iCs/>
        </w:rPr>
        <w:t>Pour les autres salariés</w:t>
      </w:r>
      <w:r>
        <w:t>, il peut s’agir</w:t>
      </w:r>
      <w:r w:rsidR="00B04DF4">
        <w:t>,</w:t>
      </w:r>
      <w:r>
        <w:t xml:space="preserve"> par exemples</w:t>
      </w:r>
      <w:r w:rsidR="00B04DF4">
        <w:t>,</w:t>
      </w:r>
      <w:r>
        <w:t xml:space="preserve"> pour l’employeur de prévoir une déconnexion automatique à certaines heures sans réponse possible, sauf procédure exceptionnelle, </w:t>
      </w:r>
      <w:r w:rsidR="00B04DF4">
        <w:t xml:space="preserve">et/ou de </w:t>
      </w:r>
      <w:r>
        <w:t xml:space="preserve">l’envoi de messages de réponses automatique, </w:t>
      </w:r>
      <w:r w:rsidR="00B04DF4">
        <w:t>et/ou du p</w:t>
      </w:r>
      <w:r>
        <w:t>rincipe d’absence de sanction d’un salarié qui ne répondrait pas en dehors de certaines plages horaires</w:t>
      </w:r>
      <w:r w:rsidR="00B04DF4">
        <w:t>….</w:t>
      </w:r>
    </w:p>
    <w:p w14:paraId="3CC16E0A" w14:textId="77777777" w:rsidR="00E80291" w:rsidRDefault="00E80291" w:rsidP="00B04DF4">
      <w:pPr>
        <w:jc w:val="both"/>
      </w:pPr>
    </w:p>
    <w:p w14:paraId="6CC71C26" w14:textId="63A75B4F" w:rsidR="00B04DF4" w:rsidRDefault="00B04DF4" w:rsidP="000267CA">
      <w:pPr>
        <w:spacing w:after="0" w:line="240" w:lineRule="auto"/>
        <w:jc w:val="both"/>
      </w:pPr>
      <w:r>
        <w:t xml:space="preserve">Pour vos </w:t>
      </w:r>
      <w:r w:rsidRPr="005816EB">
        <w:rPr>
          <w:b/>
          <w:bCs/>
          <w:u w:val="single"/>
        </w:rPr>
        <w:t xml:space="preserve">nouveaux </w:t>
      </w:r>
      <w:r w:rsidRPr="005816EB">
        <w:rPr>
          <w:b/>
          <w:bCs/>
        </w:rPr>
        <w:t>contrats cadres</w:t>
      </w:r>
      <w:r>
        <w:t xml:space="preserve"> avec clause de forfait en jours,</w:t>
      </w:r>
      <w:r w:rsidR="00D1210A">
        <w:t xml:space="preserve"> </w:t>
      </w:r>
      <w:r>
        <w:t xml:space="preserve">la FMB vous </w:t>
      </w:r>
      <w:r w:rsidR="005816EB">
        <w:t>conseille une rédaction de clause conforme à ces 4 points</w:t>
      </w:r>
      <w:r w:rsidR="004512A9">
        <w:t xml:space="preserve">, </w:t>
      </w:r>
      <w:r w:rsidR="005816EB">
        <w:t>mais qui doit être suivi</w:t>
      </w:r>
      <w:r w:rsidR="004512A9">
        <w:t xml:space="preserve">e d’une </w:t>
      </w:r>
      <w:r w:rsidR="004512A9" w:rsidRPr="004512A9">
        <w:rPr>
          <w:b/>
          <w:bCs/>
        </w:rPr>
        <w:t>pratique</w:t>
      </w:r>
      <w:r w:rsidR="005816EB">
        <w:t xml:space="preserve"> </w:t>
      </w:r>
      <w:r w:rsidR="00E80291">
        <w:t>en tout point conforme.</w:t>
      </w:r>
    </w:p>
    <w:p w14:paraId="2666D233" w14:textId="4A1C3C60" w:rsidR="00E80291" w:rsidRDefault="00E80291" w:rsidP="000267CA">
      <w:pPr>
        <w:spacing w:after="0" w:line="240" w:lineRule="auto"/>
        <w:jc w:val="both"/>
      </w:pPr>
      <w:r>
        <w:t xml:space="preserve">Vous pouvez trouver cette proposition de rédaction dans la partie </w:t>
      </w:r>
      <w:r w:rsidR="000267CA">
        <w:t>« adhérent » du site.</w:t>
      </w:r>
    </w:p>
    <w:p w14:paraId="384519A6" w14:textId="77777777" w:rsidR="000267CA" w:rsidRDefault="000267CA" w:rsidP="000267CA">
      <w:pPr>
        <w:spacing w:after="0" w:line="240" w:lineRule="auto"/>
        <w:jc w:val="both"/>
      </w:pPr>
    </w:p>
    <w:p w14:paraId="2EC10601" w14:textId="7D55CCF3" w:rsidR="00E90757" w:rsidRDefault="00456644" w:rsidP="00E90757">
      <w:pPr>
        <w:jc w:val="both"/>
      </w:pPr>
      <w:hyperlink r:id="rId5" w:tooltip="Cour de cassation, Chambre sociale, Arrêt nº 388 du 24 mars 2021, Pourvoi nº 19-12.208" w:history="1">
        <w:r w:rsidR="00D1210A" w:rsidRPr="00D1210A">
          <w:rPr>
            <w:i/>
            <w:iCs/>
            <w:noProof/>
          </w:rPr>
          <w:drawing>
            <wp:inline distT="0" distB="0" distL="0" distR="0" wp14:anchorId="1EEAF9B8" wp14:editId="37A33038">
              <wp:extent cx="6350" cy="6350"/>
              <wp:effectExtent l="0" t="0" r="0" b="0"/>
              <wp:docPr id="1" name="Image 1" descr="Cour de cassation, Chambre sociale, Arrêt nº 388 du 24 mars 2021, Pourvoi nº 19-12.208">
                <a:hlinkClick xmlns:a="http://schemas.openxmlformats.org/drawingml/2006/main" r:id="rId5" tooltip="&quot;Cour de cassation, Chambre sociale, Arrêt nº 388 du 24 mars 2021, Pourvoi nº 19-12.208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ur de cassation, Chambre sociale, Arrêt nº 388 du 24 mars 2021, Pourvoi nº 19-12.208">
                        <a:hlinkClick r:id="rId5" tooltip="&quot;Cour de cassation, Chambre sociale, Arrêt nº 388 du 24 mars 2021, Pourvoi nº 19-12.208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0" cy="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1210A" w:rsidRPr="00D1210A">
          <w:rPr>
            <w:i/>
            <w:iCs/>
          </w:rPr>
          <w:t> Source : Cour de cassation, Chambre sociale, Arrêt nº 388 du 24 mars 2021, Pourvoi nº 19-12.208</w:t>
        </w:r>
      </w:hyperlink>
    </w:p>
    <w:sectPr w:rsidR="00E90757" w:rsidSect="006B435E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B68A7"/>
    <w:multiLevelType w:val="hybridMultilevel"/>
    <w:tmpl w:val="54FA64B0"/>
    <w:lvl w:ilvl="0" w:tplc="499A1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F1CFB"/>
    <w:multiLevelType w:val="hybridMultilevel"/>
    <w:tmpl w:val="043023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57"/>
    <w:rsid w:val="000267CA"/>
    <w:rsid w:val="00426D0D"/>
    <w:rsid w:val="004512A9"/>
    <w:rsid w:val="00456644"/>
    <w:rsid w:val="005611CB"/>
    <w:rsid w:val="005816EB"/>
    <w:rsid w:val="006B435E"/>
    <w:rsid w:val="0076717B"/>
    <w:rsid w:val="00B04DF4"/>
    <w:rsid w:val="00D1210A"/>
    <w:rsid w:val="00E80291"/>
    <w:rsid w:val="00E9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D5D6"/>
  <w15:chartTrackingRefBased/>
  <w15:docId w15:val="{33FA0D51-9E06-4FAD-9D8A-76754EF3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075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1210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D12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javascript:Redirection('JU0003141042_Vigente.HTML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BUFFAULT</dc:creator>
  <cp:keywords/>
  <dc:description/>
  <cp:lastModifiedBy>Sophie Source</cp:lastModifiedBy>
  <cp:revision>2</cp:revision>
  <dcterms:created xsi:type="dcterms:W3CDTF">2021-03-30T16:32:00Z</dcterms:created>
  <dcterms:modified xsi:type="dcterms:W3CDTF">2021-03-31T13:16:00Z</dcterms:modified>
</cp:coreProperties>
</file>